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61"/>
        <w:tblW w:w="9016" w:type="dxa"/>
        <w:tblLook w:val="04A0" w:firstRow="1" w:lastRow="0" w:firstColumn="1" w:lastColumn="0" w:noHBand="0" w:noVBand="1"/>
      </w:tblPr>
      <w:tblGrid>
        <w:gridCol w:w="1763"/>
        <w:gridCol w:w="1862"/>
        <w:gridCol w:w="1156"/>
        <w:gridCol w:w="1863"/>
        <w:gridCol w:w="2372"/>
      </w:tblGrid>
      <w:tr w:rsidR="004C0201" w:rsidRPr="004C0201" w:rsidTr="004C0201">
        <w:trPr>
          <w:trHeight w:val="470"/>
        </w:trPr>
        <w:tc>
          <w:tcPr>
            <w:tcW w:w="1763" w:type="dxa"/>
          </w:tcPr>
          <w:p w:rsidR="004C0201" w:rsidRPr="004C0201" w:rsidRDefault="004C0201" w:rsidP="004C0201">
            <w:pPr>
              <w:rPr>
                <w:sz w:val="32"/>
              </w:rPr>
            </w:pPr>
            <w:r>
              <w:rPr>
                <w:sz w:val="32"/>
              </w:rPr>
              <w:t xml:space="preserve">Phase </w:t>
            </w:r>
          </w:p>
        </w:tc>
        <w:tc>
          <w:tcPr>
            <w:tcW w:w="1862" w:type="dxa"/>
          </w:tcPr>
          <w:p w:rsidR="004C0201" w:rsidRPr="004C0201" w:rsidRDefault="004C0201" w:rsidP="004C0201">
            <w:pPr>
              <w:rPr>
                <w:sz w:val="32"/>
              </w:rPr>
            </w:pPr>
            <w:r>
              <w:rPr>
                <w:sz w:val="32"/>
              </w:rPr>
              <w:t xml:space="preserve">Learning Intentions </w:t>
            </w:r>
            <w:r w:rsidRPr="004C0201">
              <w:rPr>
                <w:sz w:val="32"/>
              </w:rPr>
              <w:t>met</w:t>
            </w:r>
          </w:p>
        </w:tc>
        <w:tc>
          <w:tcPr>
            <w:tcW w:w="3019" w:type="dxa"/>
            <w:gridSpan w:val="2"/>
          </w:tcPr>
          <w:p w:rsidR="004C0201" w:rsidRPr="004C0201" w:rsidRDefault="004C0201" w:rsidP="004C0201">
            <w:pPr>
              <w:rPr>
                <w:sz w:val="32"/>
              </w:rPr>
            </w:pPr>
            <w:r w:rsidRPr="004C0201">
              <w:rPr>
                <w:sz w:val="32"/>
              </w:rPr>
              <w:t>% Met</w:t>
            </w:r>
          </w:p>
        </w:tc>
        <w:tc>
          <w:tcPr>
            <w:tcW w:w="2372" w:type="dxa"/>
          </w:tcPr>
          <w:p w:rsidR="004C0201" w:rsidRPr="004C0201" w:rsidRDefault="004C0201" w:rsidP="004C0201">
            <w:pPr>
              <w:rPr>
                <w:sz w:val="32"/>
              </w:rPr>
            </w:pPr>
            <w:r w:rsidRPr="004C0201">
              <w:rPr>
                <w:sz w:val="32"/>
              </w:rPr>
              <w:t>Whole School</w:t>
            </w:r>
          </w:p>
        </w:tc>
      </w:tr>
      <w:tr w:rsidR="004C0201" w:rsidRPr="004C0201" w:rsidTr="004C0201">
        <w:trPr>
          <w:trHeight w:val="3198"/>
        </w:trPr>
        <w:tc>
          <w:tcPr>
            <w:tcW w:w="1763" w:type="dxa"/>
            <w:shd w:val="clear" w:color="auto" w:fill="70AD47" w:themeFill="accent6"/>
          </w:tcPr>
          <w:p w:rsid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Phase 1</w:t>
            </w:r>
          </w:p>
        </w:tc>
        <w:tc>
          <w:tcPr>
            <w:tcW w:w="1862" w:type="dxa"/>
            <w:shd w:val="clear" w:color="auto" w:fill="70AD47" w:themeFill="accent6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258/276</w:t>
            </w:r>
          </w:p>
        </w:tc>
        <w:tc>
          <w:tcPr>
            <w:tcW w:w="3019" w:type="dxa"/>
            <w:gridSpan w:val="2"/>
            <w:shd w:val="clear" w:color="auto" w:fill="70AD47" w:themeFill="accent6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93%</w:t>
            </w:r>
          </w:p>
        </w:tc>
        <w:tc>
          <w:tcPr>
            <w:tcW w:w="2372" w:type="dxa"/>
            <w:vMerge w:val="restart"/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7</w:t>
            </w:r>
            <w:r w:rsidR="0019585C">
              <w:rPr>
                <w:color w:val="000000" w:themeColor="text1"/>
                <w:sz w:val="32"/>
              </w:rPr>
              <w:t>59</w:t>
            </w:r>
            <w:r w:rsidRPr="004C0201">
              <w:rPr>
                <w:color w:val="000000" w:themeColor="text1"/>
                <w:sz w:val="32"/>
              </w:rPr>
              <w:t>/79</w:t>
            </w:r>
            <w:r w:rsidR="0019585C">
              <w:rPr>
                <w:color w:val="000000" w:themeColor="text1"/>
                <w:sz w:val="32"/>
              </w:rPr>
              <w:t>2</w:t>
            </w: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shd w:val="clear" w:color="auto" w:fill="4472C4" w:themeFill="accent1"/>
              <w:rPr>
                <w:color w:val="7030A0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96%</w:t>
            </w:r>
          </w:p>
        </w:tc>
      </w:tr>
      <w:tr w:rsidR="004C0201" w:rsidRPr="004C0201" w:rsidTr="004C0201">
        <w:trPr>
          <w:trHeight w:val="4000"/>
        </w:trPr>
        <w:tc>
          <w:tcPr>
            <w:tcW w:w="1763" w:type="dxa"/>
            <w:shd w:val="clear" w:color="auto" w:fill="4472C4" w:themeFill="accent1"/>
          </w:tcPr>
          <w:p w:rsid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  <w:r>
              <w:rPr>
                <w:color w:val="000000" w:themeColor="text1"/>
                <w:sz w:val="32"/>
                <w:szCs w:val="20"/>
              </w:rPr>
              <w:t>Phase 2</w:t>
            </w:r>
          </w:p>
        </w:tc>
        <w:tc>
          <w:tcPr>
            <w:tcW w:w="1862" w:type="dxa"/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  <w:r w:rsidRPr="004C0201">
              <w:rPr>
                <w:color w:val="000000" w:themeColor="text1"/>
                <w:sz w:val="32"/>
                <w:szCs w:val="20"/>
              </w:rPr>
              <w:t>308/316</w:t>
            </w:r>
          </w:p>
        </w:tc>
        <w:tc>
          <w:tcPr>
            <w:tcW w:w="3019" w:type="dxa"/>
            <w:gridSpan w:val="2"/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  <w:r w:rsidRPr="004C0201">
              <w:rPr>
                <w:color w:val="000000" w:themeColor="text1"/>
                <w:sz w:val="32"/>
                <w:szCs w:val="20"/>
              </w:rPr>
              <w:t>97%</w:t>
            </w: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szCs w:val="20"/>
              </w:rPr>
            </w:pPr>
          </w:p>
        </w:tc>
        <w:tc>
          <w:tcPr>
            <w:tcW w:w="2372" w:type="dxa"/>
            <w:vMerge/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7030A0"/>
                <w:sz w:val="32"/>
              </w:rPr>
            </w:pPr>
          </w:p>
        </w:tc>
      </w:tr>
      <w:tr w:rsidR="004C0201" w:rsidRPr="004C0201" w:rsidTr="004C0201">
        <w:trPr>
          <w:trHeight w:val="792"/>
        </w:trPr>
        <w:tc>
          <w:tcPr>
            <w:tcW w:w="1763" w:type="dxa"/>
            <w:vMerge w:val="restart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Post 16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Post 16</w:t>
            </w: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65/68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96%</w:t>
            </w:r>
          </w:p>
        </w:tc>
        <w:tc>
          <w:tcPr>
            <w:tcW w:w="1863" w:type="dxa"/>
            <w:vMerge w:val="restart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Whole Post 16</w:t>
            </w: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19</w:t>
            </w:r>
            <w:r w:rsidR="0019585C">
              <w:rPr>
                <w:color w:val="000000" w:themeColor="text1"/>
                <w:sz w:val="32"/>
              </w:rPr>
              <w:t>3</w:t>
            </w:r>
            <w:bookmarkStart w:id="0" w:name="_GoBack"/>
            <w:bookmarkEnd w:id="0"/>
            <w:r w:rsidRPr="004C0201">
              <w:rPr>
                <w:color w:val="000000" w:themeColor="text1"/>
                <w:sz w:val="32"/>
              </w:rPr>
              <w:t>/200</w:t>
            </w:r>
          </w:p>
          <w:p w:rsidR="004C0201" w:rsidRPr="004C0201" w:rsidRDefault="004C0201" w:rsidP="004C0201">
            <w:pPr>
              <w:rPr>
                <w:color w:val="000000" w:themeColor="text1"/>
                <w:sz w:val="32"/>
                <w:highlight w:val="yellow"/>
              </w:rPr>
            </w:pPr>
            <w:r w:rsidRPr="004C0201">
              <w:rPr>
                <w:color w:val="000000" w:themeColor="text1"/>
                <w:sz w:val="32"/>
              </w:rPr>
              <w:t>97%</w:t>
            </w: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7030A0"/>
                <w:sz w:val="32"/>
              </w:rPr>
            </w:pPr>
          </w:p>
        </w:tc>
      </w:tr>
      <w:tr w:rsidR="004C0201" w:rsidRPr="004C0201" w:rsidTr="004C0201">
        <w:trPr>
          <w:trHeight w:val="1193"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Bridge</w:t>
            </w: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128/132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</w:p>
          <w:p w:rsidR="004C0201" w:rsidRPr="004C0201" w:rsidRDefault="004C0201" w:rsidP="004C0201">
            <w:pPr>
              <w:rPr>
                <w:color w:val="000000" w:themeColor="text1"/>
                <w:sz w:val="32"/>
              </w:rPr>
            </w:pPr>
            <w:r w:rsidRPr="004C0201">
              <w:rPr>
                <w:color w:val="000000" w:themeColor="text1"/>
                <w:sz w:val="32"/>
              </w:rPr>
              <w:t>97%</w:t>
            </w: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7030A0"/>
                <w:sz w:val="32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  <w:shd w:val="clear" w:color="auto" w:fill="4472C4" w:themeFill="accent1"/>
          </w:tcPr>
          <w:p w:rsidR="004C0201" w:rsidRPr="004C0201" w:rsidRDefault="004C0201" w:rsidP="004C0201">
            <w:pPr>
              <w:rPr>
                <w:color w:val="7030A0"/>
                <w:sz w:val="32"/>
              </w:rPr>
            </w:pPr>
          </w:p>
        </w:tc>
      </w:tr>
    </w:tbl>
    <w:p w:rsidR="00295F42" w:rsidRDefault="00295F42" w:rsidP="00AE4B76">
      <w:pPr>
        <w:rPr>
          <w:color w:val="7030A0"/>
        </w:rPr>
      </w:pPr>
    </w:p>
    <w:p w:rsidR="004C0201" w:rsidRDefault="004C0201" w:rsidP="00AE4B76">
      <w:pPr>
        <w:rPr>
          <w:color w:val="7030A0"/>
        </w:rPr>
      </w:pPr>
    </w:p>
    <w:p w:rsidR="004C0201" w:rsidRDefault="004C0201" w:rsidP="00AE4B76">
      <w:pPr>
        <w:rPr>
          <w:color w:val="7030A0"/>
        </w:rPr>
      </w:pPr>
    </w:p>
    <w:p w:rsidR="004C0201" w:rsidRDefault="004C0201" w:rsidP="00AE4B76">
      <w:pPr>
        <w:rPr>
          <w:color w:val="7030A0"/>
        </w:rPr>
      </w:pPr>
    </w:p>
    <w:p w:rsidR="0019585C" w:rsidRDefault="0019585C" w:rsidP="00AE4B76">
      <w:pPr>
        <w:rPr>
          <w:color w:val="7030A0"/>
        </w:rPr>
      </w:pPr>
    </w:p>
    <w:p w:rsidR="0019585C" w:rsidRDefault="0019585C" w:rsidP="00AE4B76">
      <w:pPr>
        <w:rPr>
          <w:color w:val="7030A0"/>
        </w:rPr>
      </w:pPr>
    </w:p>
    <w:p w:rsidR="0019585C" w:rsidRDefault="0019585C" w:rsidP="00AE4B76">
      <w:pPr>
        <w:rPr>
          <w:color w:val="7030A0"/>
        </w:rPr>
      </w:pPr>
    </w:p>
    <w:p w:rsidR="0019585C" w:rsidRDefault="0019585C" w:rsidP="0019585C">
      <w:pPr>
        <w:rPr>
          <w:color w:val="7030A0"/>
        </w:rPr>
      </w:pPr>
    </w:p>
    <w:p w:rsidR="0019585C" w:rsidRDefault="0019585C" w:rsidP="0019585C">
      <w:pPr>
        <w:rPr>
          <w:color w:val="000000" w:themeColor="text1"/>
          <w:sz w:val="28"/>
        </w:rPr>
      </w:pPr>
    </w:p>
    <w:p w:rsidR="0019585C" w:rsidRPr="0019585C" w:rsidRDefault="0019585C" w:rsidP="0019585C">
      <w:pPr>
        <w:rPr>
          <w:b/>
          <w:color w:val="000000" w:themeColor="text1"/>
          <w:sz w:val="28"/>
          <w:u w:val="single"/>
        </w:rPr>
      </w:pPr>
      <w:r w:rsidRPr="0019585C">
        <w:rPr>
          <w:b/>
          <w:color w:val="000000" w:themeColor="text1"/>
          <w:sz w:val="28"/>
          <w:u w:val="single"/>
        </w:rPr>
        <w:t>Further Analysis</w:t>
      </w:r>
    </w:p>
    <w:p w:rsidR="0019585C" w:rsidRDefault="0019585C" w:rsidP="00AE4B76">
      <w:pPr>
        <w:rPr>
          <w:color w:val="7030A0"/>
        </w:rPr>
      </w:pPr>
    </w:p>
    <w:p w:rsidR="0019585C" w:rsidRDefault="0019585C" w:rsidP="00AE4B76">
      <w:pPr>
        <w:rPr>
          <w:color w:val="7030A0"/>
        </w:rPr>
      </w:pPr>
    </w:p>
    <w:tbl>
      <w:tblPr>
        <w:tblStyle w:val="TableGrid"/>
        <w:tblW w:w="0" w:type="auto"/>
        <w:tblInd w:w="-1010" w:type="dxa"/>
        <w:tblLook w:val="04A0" w:firstRow="1" w:lastRow="0" w:firstColumn="1" w:lastColumn="0" w:noHBand="0" w:noVBand="1"/>
      </w:tblPr>
      <w:tblGrid>
        <w:gridCol w:w="1496"/>
        <w:gridCol w:w="2124"/>
        <w:gridCol w:w="2338"/>
        <w:gridCol w:w="2034"/>
        <w:gridCol w:w="2034"/>
      </w:tblGrid>
      <w:tr w:rsidR="0019585C" w:rsidRPr="00452493" w:rsidTr="00744BB9">
        <w:tc>
          <w:tcPr>
            <w:tcW w:w="2061" w:type="dxa"/>
          </w:tcPr>
          <w:p w:rsidR="0019585C" w:rsidRPr="00315F0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5F03">
              <w:rPr>
                <w:color w:val="000000" w:themeColor="text1"/>
                <w:sz w:val="28"/>
                <w:szCs w:val="28"/>
              </w:rPr>
              <w:t>Phase</w:t>
            </w:r>
          </w:p>
        </w:tc>
        <w:tc>
          <w:tcPr>
            <w:tcW w:w="2931" w:type="dxa"/>
          </w:tcPr>
          <w:p w:rsidR="0019585C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5F03">
              <w:rPr>
                <w:color w:val="000000" w:themeColor="text1"/>
                <w:sz w:val="28"/>
                <w:szCs w:val="28"/>
              </w:rPr>
              <w:t>Pupil Premium</w:t>
            </w:r>
          </w:p>
          <w:p w:rsidR="0019585C" w:rsidRPr="00315F0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(Post 16= FSM)</w:t>
            </w:r>
          </w:p>
        </w:tc>
        <w:tc>
          <w:tcPr>
            <w:tcW w:w="3344" w:type="dxa"/>
          </w:tcPr>
          <w:p w:rsidR="0019585C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15F03">
              <w:rPr>
                <w:color w:val="000000" w:themeColor="text1"/>
                <w:sz w:val="28"/>
                <w:szCs w:val="28"/>
              </w:rPr>
              <w:t>Non Pupil</w:t>
            </w:r>
            <w:proofErr w:type="gramEnd"/>
            <w:r w:rsidRPr="00315F03">
              <w:rPr>
                <w:color w:val="000000" w:themeColor="text1"/>
                <w:sz w:val="28"/>
                <w:szCs w:val="28"/>
              </w:rPr>
              <w:t xml:space="preserve"> Premium</w:t>
            </w:r>
          </w:p>
          <w:p w:rsidR="0019585C" w:rsidRPr="00315F0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(Post 16=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Non FSM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19585C" w:rsidRPr="00315F0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5F03">
              <w:rPr>
                <w:color w:val="000000" w:themeColor="text1"/>
                <w:sz w:val="28"/>
                <w:szCs w:val="28"/>
              </w:rPr>
              <w:t>Males</w:t>
            </w:r>
          </w:p>
        </w:tc>
        <w:tc>
          <w:tcPr>
            <w:tcW w:w="2806" w:type="dxa"/>
          </w:tcPr>
          <w:p w:rsidR="0019585C" w:rsidRPr="00315F0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5F03">
              <w:rPr>
                <w:color w:val="000000" w:themeColor="text1"/>
                <w:sz w:val="28"/>
                <w:szCs w:val="28"/>
              </w:rPr>
              <w:t>Females</w:t>
            </w:r>
          </w:p>
        </w:tc>
      </w:tr>
      <w:tr w:rsidR="0019585C" w:rsidRPr="00452493" w:rsidTr="00744BB9">
        <w:tc>
          <w:tcPr>
            <w:tcW w:w="2061" w:type="dxa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Phase 1</w:t>
            </w:r>
          </w:p>
        </w:tc>
        <w:tc>
          <w:tcPr>
            <w:tcW w:w="2931" w:type="dxa"/>
            <w:shd w:val="clear" w:color="auto" w:fill="4472C4" w:themeFill="accent1"/>
          </w:tcPr>
          <w:p w:rsidR="0019585C" w:rsidRPr="0088776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26 students</w:t>
            </w:r>
          </w:p>
          <w:p w:rsidR="0019585C" w:rsidRPr="0088776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102/104 LI’s Met</w:t>
            </w:r>
          </w:p>
          <w:p w:rsidR="0019585C" w:rsidRPr="0088776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98%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shd w:val="clear" w:color="auto" w:fill="4472C4" w:themeFill="accent1"/>
          </w:tcPr>
          <w:p w:rsidR="0019585C" w:rsidRPr="0088776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40 students</w:t>
            </w:r>
          </w:p>
          <w:p w:rsidR="0019585C" w:rsidRPr="0088776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137/160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887763">
              <w:rPr>
                <w:color w:val="000000" w:themeColor="text1"/>
                <w:sz w:val="28"/>
                <w:szCs w:val="28"/>
              </w:rPr>
              <w:t>86%</w:t>
            </w:r>
          </w:p>
        </w:tc>
        <w:tc>
          <w:tcPr>
            <w:tcW w:w="2806" w:type="dxa"/>
            <w:shd w:val="clear" w:color="auto" w:fill="70AD47" w:themeFill="accent6"/>
          </w:tcPr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E04E47">
              <w:rPr>
                <w:color w:val="000000" w:themeColor="text1"/>
                <w:sz w:val="28"/>
                <w:szCs w:val="28"/>
              </w:rPr>
              <w:t>7/1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04E47">
              <w:rPr>
                <w:color w:val="000000" w:themeColor="text1"/>
                <w:sz w:val="28"/>
                <w:szCs w:val="28"/>
              </w:rPr>
              <w:t>2 LI’s Met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E04E47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806" w:type="dxa"/>
            <w:shd w:val="clear" w:color="auto" w:fill="70AD47" w:themeFill="accent6"/>
          </w:tcPr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78/8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LI’s Met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E04E47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19585C" w:rsidRPr="00452493" w:rsidTr="00744BB9">
        <w:tc>
          <w:tcPr>
            <w:tcW w:w="2061" w:type="dxa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Phase 2</w:t>
            </w:r>
          </w:p>
        </w:tc>
        <w:tc>
          <w:tcPr>
            <w:tcW w:w="2931" w:type="dxa"/>
            <w:shd w:val="clear" w:color="auto" w:fill="70AD47" w:themeFill="accent6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Pr="009E342D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189</w:t>
            </w:r>
            <w:r w:rsidRPr="009E342D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200</w:t>
            </w:r>
            <w:r w:rsidRPr="009E342D">
              <w:rPr>
                <w:color w:val="000000" w:themeColor="text1"/>
                <w:sz w:val="28"/>
                <w:szCs w:val="28"/>
              </w:rPr>
              <w:t xml:space="preserve"> LI’s Met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E342D">
              <w:rPr>
                <w:color w:val="000000" w:themeColor="text1"/>
                <w:sz w:val="28"/>
                <w:szCs w:val="28"/>
              </w:rPr>
              <w:t>%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shd w:val="clear" w:color="auto" w:fill="70AD47" w:themeFill="accent6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32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115/128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90%</w:t>
            </w:r>
          </w:p>
        </w:tc>
        <w:tc>
          <w:tcPr>
            <w:tcW w:w="2806" w:type="dxa"/>
            <w:shd w:val="clear" w:color="auto" w:fill="4472C4" w:themeFill="accent1"/>
          </w:tcPr>
          <w:p w:rsidR="0019585C" w:rsidRPr="004D7A64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4D7A64">
              <w:rPr>
                <w:color w:val="000000" w:themeColor="text1"/>
                <w:sz w:val="28"/>
                <w:szCs w:val="28"/>
              </w:rPr>
              <w:t>8 students</w:t>
            </w:r>
          </w:p>
          <w:p w:rsidR="0019585C" w:rsidRPr="004D7A64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7A64">
              <w:rPr>
                <w:color w:val="000000" w:themeColor="text1"/>
                <w:sz w:val="28"/>
                <w:szCs w:val="28"/>
              </w:rPr>
              <w:t>223/232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4D7A64">
              <w:rPr>
                <w:color w:val="000000" w:themeColor="text1"/>
                <w:sz w:val="28"/>
                <w:szCs w:val="28"/>
              </w:rPr>
              <w:t>96%</w:t>
            </w:r>
          </w:p>
        </w:tc>
        <w:tc>
          <w:tcPr>
            <w:tcW w:w="2806" w:type="dxa"/>
            <w:shd w:val="clear" w:color="auto" w:fill="4472C4" w:themeFill="accent1"/>
          </w:tcPr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  <w:r w:rsidRPr="00E04E47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84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E04E47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19585C" w:rsidRPr="00452493" w:rsidTr="00744BB9">
        <w:tc>
          <w:tcPr>
            <w:tcW w:w="2061" w:type="dxa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Post 16</w:t>
            </w:r>
          </w:p>
        </w:tc>
        <w:tc>
          <w:tcPr>
            <w:tcW w:w="2931" w:type="dxa"/>
            <w:shd w:val="clear" w:color="auto" w:fill="70AD47" w:themeFill="accent6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32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122/128 LI’s Met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95%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shd w:val="clear" w:color="auto" w:fill="4472C4" w:themeFill="accent1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18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69/72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96%</w:t>
            </w:r>
          </w:p>
        </w:tc>
        <w:tc>
          <w:tcPr>
            <w:tcW w:w="2806" w:type="dxa"/>
            <w:shd w:val="clear" w:color="auto" w:fill="4472C4" w:themeFill="accent1"/>
          </w:tcPr>
          <w:p w:rsidR="0019585C" w:rsidRPr="009C563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5633">
              <w:rPr>
                <w:color w:val="000000" w:themeColor="text1"/>
                <w:sz w:val="28"/>
                <w:szCs w:val="28"/>
              </w:rPr>
              <w:t>29 students</w:t>
            </w:r>
          </w:p>
          <w:p w:rsidR="0019585C" w:rsidRPr="009C563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5633">
              <w:rPr>
                <w:color w:val="000000" w:themeColor="text1"/>
                <w:sz w:val="28"/>
                <w:szCs w:val="28"/>
              </w:rPr>
              <w:t>114/116 LI’s Met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C5633">
              <w:rPr>
                <w:color w:val="000000" w:themeColor="text1"/>
                <w:sz w:val="28"/>
                <w:szCs w:val="28"/>
              </w:rPr>
              <w:t>97%</w:t>
            </w:r>
          </w:p>
        </w:tc>
        <w:tc>
          <w:tcPr>
            <w:tcW w:w="2806" w:type="dxa"/>
            <w:shd w:val="clear" w:color="auto" w:fill="4472C4" w:themeFill="accent1"/>
          </w:tcPr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21 students</w:t>
            </w:r>
          </w:p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81/84 LI’s Met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96%</w:t>
            </w:r>
          </w:p>
        </w:tc>
      </w:tr>
      <w:tr w:rsidR="0019585C" w:rsidRPr="00452493" w:rsidTr="00744BB9">
        <w:tc>
          <w:tcPr>
            <w:tcW w:w="2061" w:type="dxa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931" w:type="dxa"/>
            <w:shd w:val="clear" w:color="auto" w:fill="4472C4" w:themeFill="accent1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108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413/432 LI’s Met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96%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3344" w:type="dxa"/>
            <w:shd w:val="clear" w:color="auto" w:fill="70AD47" w:themeFill="accent6"/>
          </w:tcPr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E342D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9E342D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321/360 LI’s Met</w:t>
            </w:r>
          </w:p>
          <w:p w:rsidR="0019585C" w:rsidRPr="00695660" w:rsidRDefault="0019585C" w:rsidP="00744BB9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9E342D">
              <w:rPr>
                <w:color w:val="000000" w:themeColor="text1"/>
                <w:sz w:val="28"/>
                <w:szCs w:val="28"/>
              </w:rPr>
              <w:t>89%</w:t>
            </w:r>
          </w:p>
        </w:tc>
        <w:tc>
          <w:tcPr>
            <w:tcW w:w="2806" w:type="dxa"/>
            <w:shd w:val="clear" w:color="auto" w:fill="70AD47" w:themeFill="accent6"/>
          </w:tcPr>
          <w:p w:rsidR="0019585C" w:rsidRPr="009C563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C5633">
              <w:rPr>
                <w:color w:val="000000" w:themeColor="text1"/>
                <w:sz w:val="28"/>
                <w:szCs w:val="28"/>
              </w:rPr>
              <w:t>13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C5633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9C5633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514</w:t>
            </w:r>
            <w:r w:rsidRPr="009C5633">
              <w:rPr>
                <w:color w:val="000000" w:themeColor="text1"/>
                <w:sz w:val="28"/>
                <w:szCs w:val="28"/>
              </w:rPr>
              <w:t>/5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9C5633">
              <w:rPr>
                <w:color w:val="000000" w:themeColor="text1"/>
                <w:sz w:val="28"/>
                <w:szCs w:val="28"/>
              </w:rPr>
              <w:t xml:space="preserve">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9C5633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9C5633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806" w:type="dxa"/>
            <w:shd w:val="clear" w:color="auto" w:fill="4472C4" w:themeFill="accent1"/>
          </w:tcPr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students</w:t>
            </w:r>
          </w:p>
          <w:p w:rsidR="0019585C" w:rsidRPr="00E04E47" w:rsidRDefault="0019585C" w:rsidP="00744B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41</w:t>
            </w:r>
            <w:r w:rsidRPr="00E04E47">
              <w:rPr>
                <w:color w:val="000000" w:themeColor="text1"/>
                <w:sz w:val="28"/>
                <w:szCs w:val="28"/>
              </w:rPr>
              <w:t>/2</w:t>
            </w:r>
            <w:r>
              <w:rPr>
                <w:color w:val="000000" w:themeColor="text1"/>
                <w:sz w:val="28"/>
                <w:szCs w:val="28"/>
              </w:rPr>
              <w:t>52</w:t>
            </w:r>
            <w:r w:rsidRPr="00E04E47">
              <w:rPr>
                <w:color w:val="000000" w:themeColor="text1"/>
                <w:sz w:val="28"/>
                <w:szCs w:val="28"/>
              </w:rPr>
              <w:t xml:space="preserve"> LI’s Met</w:t>
            </w:r>
          </w:p>
          <w:p w:rsidR="0019585C" w:rsidRPr="00695660" w:rsidRDefault="0019585C" w:rsidP="00744BB9">
            <w:pPr>
              <w:jc w:val="center"/>
              <w:rPr>
                <w:color w:val="7030A0"/>
                <w:sz w:val="28"/>
                <w:szCs w:val="28"/>
                <w:highlight w:val="yellow"/>
              </w:rPr>
            </w:pPr>
            <w:r w:rsidRPr="00E04E47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04E47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19585C" w:rsidRDefault="0019585C" w:rsidP="00AE4B76">
      <w:pPr>
        <w:rPr>
          <w:color w:val="7030A0"/>
        </w:rPr>
      </w:pPr>
    </w:p>
    <w:sectPr w:rsidR="0019585C" w:rsidSect="004C0201">
      <w:headerReference w:type="default" r:id="rId7"/>
      <w:footerReference w:type="default" r:id="rId8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27B" w:rsidRDefault="0008527B" w:rsidP="005D6A79">
      <w:pPr>
        <w:spacing w:after="0" w:line="240" w:lineRule="auto"/>
      </w:pPr>
      <w:r>
        <w:separator/>
      </w:r>
    </w:p>
  </w:endnote>
  <w:endnote w:type="continuationSeparator" w:id="0">
    <w:p w:rsidR="0008527B" w:rsidRDefault="0008527B" w:rsidP="005D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72" w:type="dxa"/>
      <w:tblInd w:w="-525" w:type="dxa"/>
      <w:tblLook w:val="04A0" w:firstRow="1" w:lastRow="0" w:firstColumn="1" w:lastColumn="0" w:noHBand="0" w:noVBand="1"/>
    </w:tblPr>
    <w:tblGrid>
      <w:gridCol w:w="3523"/>
      <w:gridCol w:w="3523"/>
      <w:gridCol w:w="3526"/>
    </w:tblGrid>
    <w:tr w:rsidR="0019585C" w:rsidTr="0019585C">
      <w:trPr>
        <w:trHeight w:val="794"/>
      </w:trPr>
      <w:tc>
        <w:tcPr>
          <w:tcW w:w="3523" w:type="dxa"/>
          <w:shd w:val="clear" w:color="auto" w:fill="FFC000"/>
        </w:tcPr>
        <w:p w:rsidR="0019585C" w:rsidRDefault="0019585C" w:rsidP="0019585C">
          <w:pPr>
            <w:jc w:val="center"/>
            <w:rPr>
              <w:sz w:val="28"/>
            </w:rPr>
          </w:pPr>
          <w:r w:rsidRPr="004C0201">
            <w:rPr>
              <w:sz w:val="28"/>
            </w:rPr>
            <w:t>Below Expected</w:t>
          </w:r>
          <w:r>
            <w:rPr>
              <w:sz w:val="28"/>
            </w:rPr>
            <w:t xml:space="preserve"> </w:t>
          </w:r>
          <w:r w:rsidRPr="004C0201">
            <w:rPr>
              <w:sz w:val="28"/>
            </w:rPr>
            <w:t>Progress</w:t>
          </w:r>
        </w:p>
        <w:p w:rsidR="0019585C" w:rsidRPr="004C0201" w:rsidRDefault="0019585C" w:rsidP="0019585C">
          <w:pPr>
            <w:jc w:val="center"/>
            <w:rPr>
              <w:sz w:val="28"/>
            </w:rPr>
          </w:pPr>
          <w:r>
            <w:rPr>
              <w:sz w:val="28"/>
            </w:rPr>
            <w:t>&lt; 85%</w:t>
          </w:r>
        </w:p>
      </w:tc>
      <w:tc>
        <w:tcPr>
          <w:tcW w:w="3523" w:type="dxa"/>
          <w:shd w:val="clear" w:color="auto" w:fill="70AD47" w:themeFill="accent6"/>
        </w:tcPr>
        <w:p w:rsidR="0019585C" w:rsidRDefault="0019585C" w:rsidP="0019585C">
          <w:pPr>
            <w:jc w:val="center"/>
            <w:rPr>
              <w:sz w:val="28"/>
            </w:rPr>
          </w:pPr>
          <w:r w:rsidRPr="004C0201">
            <w:rPr>
              <w:sz w:val="28"/>
            </w:rPr>
            <w:t>Expected Progress</w:t>
          </w:r>
        </w:p>
        <w:p w:rsidR="0019585C" w:rsidRPr="004C0201" w:rsidRDefault="0019585C" w:rsidP="0019585C">
          <w:pPr>
            <w:jc w:val="center"/>
            <w:rPr>
              <w:sz w:val="28"/>
            </w:rPr>
          </w:pPr>
          <w:r>
            <w:rPr>
              <w:sz w:val="28"/>
            </w:rPr>
            <w:t>85% - 95%</w:t>
          </w:r>
        </w:p>
      </w:tc>
      <w:tc>
        <w:tcPr>
          <w:tcW w:w="3526" w:type="dxa"/>
          <w:shd w:val="clear" w:color="auto" w:fill="4472C4" w:themeFill="accent1"/>
        </w:tcPr>
        <w:p w:rsidR="0019585C" w:rsidRDefault="0019585C" w:rsidP="0019585C">
          <w:pPr>
            <w:jc w:val="center"/>
            <w:rPr>
              <w:sz w:val="28"/>
            </w:rPr>
          </w:pPr>
          <w:r w:rsidRPr="004C0201">
            <w:rPr>
              <w:sz w:val="28"/>
            </w:rPr>
            <w:t>Exceeding Expected Progress</w:t>
          </w:r>
        </w:p>
        <w:p w:rsidR="0019585C" w:rsidRPr="004C0201" w:rsidRDefault="0019585C" w:rsidP="0019585C">
          <w:pPr>
            <w:jc w:val="center"/>
            <w:rPr>
              <w:sz w:val="28"/>
            </w:rPr>
          </w:pPr>
          <w:r>
            <w:rPr>
              <w:sz w:val="28"/>
            </w:rPr>
            <w:t>&gt;95%</w:t>
          </w:r>
        </w:p>
      </w:tc>
    </w:tr>
  </w:tbl>
  <w:p w:rsidR="0019585C" w:rsidRDefault="00195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27B" w:rsidRDefault="0008527B" w:rsidP="005D6A79">
      <w:pPr>
        <w:spacing w:after="0" w:line="240" w:lineRule="auto"/>
      </w:pPr>
      <w:r>
        <w:separator/>
      </w:r>
    </w:p>
  </w:footnote>
  <w:footnote w:type="continuationSeparator" w:id="0">
    <w:p w:rsidR="0008527B" w:rsidRDefault="0008527B" w:rsidP="005D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201" w:rsidRDefault="004C0201" w:rsidP="005D6A79">
    <w:pPr>
      <w:pStyle w:val="Header"/>
      <w:jc w:val="center"/>
      <w:rPr>
        <w:b/>
        <w:sz w:val="28"/>
        <w:u w:val="single"/>
      </w:rPr>
    </w:pPr>
  </w:p>
  <w:p w:rsidR="0008527B" w:rsidRDefault="0008527B" w:rsidP="005D6A79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Pupil Progress Data </w:t>
    </w:r>
  </w:p>
  <w:p w:rsidR="0008527B" w:rsidRDefault="0008527B" w:rsidP="0008527B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Learning Intentions February- July 2022</w:t>
    </w:r>
  </w:p>
  <w:p w:rsidR="0008527B" w:rsidRPr="005D6A79" w:rsidRDefault="0008527B" w:rsidP="0008527B">
    <w:pPr>
      <w:pStyle w:val="Head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066D"/>
    <w:multiLevelType w:val="hybridMultilevel"/>
    <w:tmpl w:val="5EE0548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001D8C"/>
    <w:multiLevelType w:val="hybridMultilevel"/>
    <w:tmpl w:val="FE34B296"/>
    <w:lvl w:ilvl="0" w:tplc="18E2F4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C0"/>
    <w:rsid w:val="0008527B"/>
    <w:rsid w:val="0009380A"/>
    <w:rsid w:val="000B4E8E"/>
    <w:rsid w:val="00101AB1"/>
    <w:rsid w:val="00156FC5"/>
    <w:rsid w:val="00184069"/>
    <w:rsid w:val="0019585C"/>
    <w:rsid w:val="0019731A"/>
    <w:rsid w:val="001F1C76"/>
    <w:rsid w:val="00203DC0"/>
    <w:rsid w:val="00224D77"/>
    <w:rsid w:val="00271F41"/>
    <w:rsid w:val="00273FDC"/>
    <w:rsid w:val="002936AB"/>
    <w:rsid w:val="00295F42"/>
    <w:rsid w:val="002B1240"/>
    <w:rsid w:val="002F4F3C"/>
    <w:rsid w:val="002F5298"/>
    <w:rsid w:val="0030429D"/>
    <w:rsid w:val="00315F03"/>
    <w:rsid w:val="003351B3"/>
    <w:rsid w:val="00366486"/>
    <w:rsid w:val="00372747"/>
    <w:rsid w:val="003B4DD5"/>
    <w:rsid w:val="003C2176"/>
    <w:rsid w:val="003C6325"/>
    <w:rsid w:val="00414B54"/>
    <w:rsid w:val="00452493"/>
    <w:rsid w:val="004C0201"/>
    <w:rsid w:val="005113AC"/>
    <w:rsid w:val="0052126D"/>
    <w:rsid w:val="00554A1B"/>
    <w:rsid w:val="005B0355"/>
    <w:rsid w:val="005D6A79"/>
    <w:rsid w:val="005F7FFE"/>
    <w:rsid w:val="006772BF"/>
    <w:rsid w:val="00683159"/>
    <w:rsid w:val="00695660"/>
    <w:rsid w:val="006D38E9"/>
    <w:rsid w:val="006F2E36"/>
    <w:rsid w:val="00786EDD"/>
    <w:rsid w:val="007A5E1B"/>
    <w:rsid w:val="007D752E"/>
    <w:rsid w:val="008438A1"/>
    <w:rsid w:val="008574CB"/>
    <w:rsid w:val="00864D4D"/>
    <w:rsid w:val="00870570"/>
    <w:rsid w:val="00917E63"/>
    <w:rsid w:val="00946882"/>
    <w:rsid w:val="00954C3A"/>
    <w:rsid w:val="00986929"/>
    <w:rsid w:val="009A41AC"/>
    <w:rsid w:val="009C06BB"/>
    <w:rsid w:val="009C7D82"/>
    <w:rsid w:val="00A419AA"/>
    <w:rsid w:val="00AD353D"/>
    <w:rsid w:val="00AD793E"/>
    <w:rsid w:val="00AE4B76"/>
    <w:rsid w:val="00B27CB7"/>
    <w:rsid w:val="00B31508"/>
    <w:rsid w:val="00BE31F8"/>
    <w:rsid w:val="00C03C2B"/>
    <w:rsid w:val="00C42132"/>
    <w:rsid w:val="00C65141"/>
    <w:rsid w:val="00CC3B2D"/>
    <w:rsid w:val="00D02694"/>
    <w:rsid w:val="00D73F9C"/>
    <w:rsid w:val="00DE1CC6"/>
    <w:rsid w:val="00E1630E"/>
    <w:rsid w:val="00EA3E99"/>
    <w:rsid w:val="00EB4565"/>
    <w:rsid w:val="00F5519F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82D88"/>
  <w15:docId w15:val="{868B1BC3-268F-470A-87FA-DA3CAABC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79"/>
  </w:style>
  <w:style w:type="paragraph" w:styleId="Footer">
    <w:name w:val="footer"/>
    <w:basedOn w:val="Normal"/>
    <w:link w:val="FooterChar"/>
    <w:uiPriority w:val="99"/>
    <w:unhideWhenUsed/>
    <w:rsid w:val="005D6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79"/>
  </w:style>
  <w:style w:type="paragraph" w:styleId="BalloonText">
    <w:name w:val="Balloon Text"/>
    <w:basedOn w:val="Normal"/>
    <w:link w:val="BalloonTextChar"/>
    <w:uiPriority w:val="99"/>
    <w:semiHidden/>
    <w:unhideWhenUsed/>
    <w:rsid w:val="009C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Jacob</dc:creator>
  <cp:lastModifiedBy>Shaw, Jacob</cp:lastModifiedBy>
  <cp:revision>3</cp:revision>
  <cp:lastPrinted>2022-10-11T16:35:00Z</cp:lastPrinted>
  <dcterms:created xsi:type="dcterms:W3CDTF">2023-02-27T16:51:00Z</dcterms:created>
  <dcterms:modified xsi:type="dcterms:W3CDTF">2023-02-27T17:02:00Z</dcterms:modified>
</cp:coreProperties>
</file>